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D98" w:rsidRDefault="00726D98" w:rsidP="00726D98">
      <w:pPr>
        <w:spacing w:after="600"/>
        <w:jc w:val="center"/>
        <w:rPr>
          <w:rFonts w:asciiTheme="majorHAnsi" w:hAnsiTheme="majorHAnsi"/>
          <w:b/>
          <w:i/>
          <w:iCs/>
          <w:sz w:val="36"/>
        </w:rPr>
      </w:pPr>
      <w:bookmarkStart w:id="0" w:name="_GoBack"/>
      <w:bookmarkEnd w:id="0"/>
    </w:p>
    <w:p w:rsidR="00726D98" w:rsidRPr="00A97793" w:rsidRDefault="00726D98" w:rsidP="00726D98">
      <w:pPr>
        <w:spacing w:after="840"/>
        <w:jc w:val="center"/>
        <w:rPr>
          <w:rFonts w:asciiTheme="majorHAnsi" w:hAnsiTheme="majorHAnsi"/>
          <w:b/>
          <w:i/>
          <w:iCs/>
          <w:color w:val="323E4F" w:themeColor="text2" w:themeShade="BF"/>
          <w:sz w:val="36"/>
        </w:rPr>
      </w:pPr>
      <w:r w:rsidRPr="00A97793">
        <w:rPr>
          <w:rFonts w:asciiTheme="majorHAnsi" w:hAnsiTheme="majorHAnsi"/>
          <w:b/>
          <w:i/>
          <w:iCs/>
          <w:color w:val="323E4F" w:themeColor="text2" w:themeShade="BF"/>
          <w:sz w:val="36"/>
        </w:rPr>
        <w:t>ALPHEIUS GLOBAL ENTERPRISES</w:t>
      </w:r>
    </w:p>
    <w:p w:rsidR="00726D98" w:rsidRPr="00A97793" w:rsidRDefault="00726D98" w:rsidP="00726D98">
      <w:pPr>
        <w:spacing w:after="48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Environmental Health Report</w:t>
      </w:r>
    </w:p>
    <w:p w:rsidR="00726D98" w:rsidRPr="00A97793" w:rsidRDefault="00726D98" w:rsidP="00726D98">
      <w:pPr>
        <w:spacing w:after="84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Water Quality in the South East Region</w:t>
      </w:r>
    </w:p>
    <w:p w:rsidR="00726D98" w:rsidRPr="00A97793" w:rsidRDefault="00726D98" w:rsidP="00726D98">
      <w:pPr>
        <w:spacing w:after="0"/>
        <w:jc w:val="center"/>
        <w:rPr>
          <w:rFonts w:asciiTheme="majorHAnsi" w:hAnsiTheme="majorHAnsi"/>
          <w:b/>
          <w:i/>
          <w:iCs/>
          <w:color w:val="323E4F" w:themeColor="text2" w:themeShade="BF"/>
          <w:sz w:val="36"/>
        </w:rPr>
      </w:pPr>
      <w:r>
        <w:rPr>
          <w:rFonts w:asciiTheme="majorHAnsi" w:hAnsiTheme="majorHAnsi"/>
          <w:b/>
          <w:i/>
          <w:iCs/>
          <w:color w:val="323E4F" w:themeColor="text2" w:themeShade="BF"/>
          <w:sz w:val="36"/>
        </w:rPr>
        <w:t xml:space="preserve">– </w:t>
      </w:r>
      <w:r w:rsidR="00912286">
        <w:rPr>
          <w:rFonts w:asciiTheme="majorHAnsi" w:hAnsiTheme="majorHAnsi"/>
          <w:b/>
          <w:i/>
          <w:iCs/>
          <w:color w:val="323E4F" w:themeColor="text2" w:themeShade="BF"/>
          <w:sz w:val="36"/>
        </w:rPr>
        <w:t>2013</w:t>
      </w:r>
      <w:r>
        <w:rPr>
          <w:rFonts w:asciiTheme="majorHAnsi" w:hAnsiTheme="majorHAnsi"/>
          <w:b/>
          <w:i/>
          <w:iCs/>
          <w:color w:val="323E4F" w:themeColor="text2" w:themeShade="BF"/>
          <w:sz w:val="36"/>
        </w:rPr>
        <w:t xml:space="preserve"> –</w:t>
      </w:r>
    </w:p>
    <w:p w:rsidR="00726D98" w:rsidRDefault="00726D98" w:rsidP="00726D98">
      <w:pPr>
        <w:spacing w:after="0"/>
        <w:rPr>
          <w:rFonts w:asciiTheme="majorHAnsi" w:hAnsiTheme="majorHAnsi"/>
          <w:b/>
          <w:i/>
          <w:iCs/>
          <w:sz w:val="36"/>
        </w:rPr>
      </w:pPr>
      <w:r>
        <w:rPr>
          <w:rFonts w:asciiTheme="majorHAnsi" w:hAnsiTheme="majorHAnsi"/>
          <w:b/>
        </w:rPr>
        <w:br w:type="page"/>
      </w:r>
    </w:p>
    <w:p w:rsidR="00726D98" w:rsidRPr="00EA7222" w:rsidRDefault="00726D98" w:rsidP="00726D98">
      <w:pPr>
        <w:pStyle w:val="SubTitle"/>
        <w:jc w:val="left"/>
        <w:rPr>
          <w:rFonts w:asciiTheme="majorHAnsi" w:hAnsiTheme="majorHAnsi"/>
          <w:b/>
        </w:rPr>
      </w:pPr>
      <w:r w:rsidRPr="00EA7222">
        <w:rPr>
          <w:rFonts w:asciiTheme="majorHAnsi" w:hAnsiTheme="majorHAnsi"/>
          <w:b/>
        </w:rPr>
        <w:lastRenderedPageBreak/>
        <w:t>AGE - Environmental Health</w:t>
      </w:r>
    </w:p>
    <w:p w:rsidR="00726D98" w:rsidRPr="00EA7222" w:rsidRDefault="00726D98" w:rsidP="00726D98">
      <w:pPr>
        <w:pStyle w:val="SubTitle"/>
        <w:spacing w:after="720"/>
        <w:jc w:val="left"/>
        <w:rPr>
          <w:rFonts w:asciiTheme="majorHAnsi" w:hAnsiTheme="majorHAnsi"/>
          <w:sz w:val="28"/>
        </w:rPr>
      </w:pPr>
      <w:r w:rsidRPr="00EA7222">
        <w:rPr>
          <w:rFonts w:asciiTheme="majorHAnsi" w:hAnsiTheme="majorHAnsi"/>
          <w:sz w:val="28"/>
        </w:rPr>
        <w:t>Working Towards Improved Water Quality</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Introduction</w:t>
      </w:r>
    </w:p>
    <w:p w:rsidR="00726D98" w:rsidRPr="00EA7222" w:rsidRDefault="00726D98" w:rsidP="00726D98">
      <w:pPr>
        <w:rPr>
          <w:rFonts w:asciiTheme="minorHAnsi" w:hAnsiTheme="minorHAnsi"/>
          <w:lang w:eastAsia="en-AU"/>
        </w:rPr>
      </w:pPr>
      <w:proofErr w:type="spellStart"/>
      <w:r w:rsidRPr="00EA7222">
        <w:rPr>
          <w:rFonts w:asciiTheme="minorHAnsi" w:hAnsiTheme="minorHAnsi"/>
          <w:lang w:eastAsia="en-AU"/>
        </w:rPr>
        <w:t>Alpheius</w:t>
      </w:r>
      <w:proofErr w:type="spellEnd"/>
      <w:r w:rsidRPr="00EA7222">
        <w:rPr>
          <w:rFonts w:asciiTheme="minorHAnsi" w:hAnsiTheme="minorHAnsi"/>
          <w:lang w:eastAsia="en-AU"/>
        </w:rPr>
        <w:t xml:space="preserve"> Global Enterprises has d</w:t>
      </w:r>
      <w:r>
        <w:rPr>
          <w:rFonts w:asciiTheme="minorHAnsi" w:hAnsiTheme="minorHAnsi"/>
          <w:lang w:eastAsia="en-AU"/>
        </w:rPr>
        <w:t>e</w:t>
      </w:r>
      <w:r w:rsidRPr="00EA7222">
        <w:rPr>
          <w:rFonts w:asciiTheme="minorHAnsi" w:hAnsiTheme="minorHAnsi"/>
          <w:lang w:eastAsia="en-AU"/>
        </w:rPr>
        <w:t>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Water </w:t>
      </w:r>
      <w:r>
        <w:rPr>
          <w:rFonts w:asciiTheme="minorHAnsi" w:hAnsiTheme="minorHAnsi"/>
          <w:lang w:eastAsia="en-AU"/>
        </w:rPr>
        <w:t>C</w:t>
      </w:r>
      <w:r w:rsidRPr="00EA7222">
        <w:rPr>
          <w:rFonts w:asciiTheme="minorHAnsi" w:hAnsiTheme="minorHAnsi"/>
          <w:lang w:eastAsia="en-AU"/>
        </w:rPr>
        <w:t>ontamination</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Grazing </w:t>
      </w:r>
      <w:r>
        <w:rPr>
          <w:rFonts w:asciiTheme="minorHAnsi" w:hAnsiTheme="minorHAnsi"/>
          <w:lang w:eastAsia="en-AU"/>
        </w:rPr>
        <w:t>P</w:t>
      </w:r>
      <w:r w:rsidRPr="00EA7222">
        <w:rPr>
          <w:rFonts w:asciiTheme="minorHAnsi" w:hAnsiTheme="minorHAnsi"/>
          <w:lang w:eastAsia="en-AU"/>
        </w:rPr>
        <w:t>ractices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Pr>
          <w:rFonts w:asciiTheme="minorHAnsi" w:hAnsiTheme="minorHAnsi"/>
          <w:lang w:eastAsia="en-AU"/>
        </w:rPr>
        <w:t>Groundwater M</w:t>
      </w:r>
      <w:r w:rsidRPr="00EA7222">
        <w:rPr>
          <w:rFonts w:asciiTheme="minorHAnsi" w:hAnsiTheme="minorHAnsi"/>
          <w:lang w:eastAsia="en-AU"/>
        </w:rPr>
        <w:t>anagement</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Invasive Pests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Wetlands Diversity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Salinity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River Health</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Riparian Lands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Native Vegetation and Biodiversity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Managing Agricultural Landscapes</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Areas of Interest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Water Contamination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The South East River Contaminants Program builds upon the </w:t>
      </w:r>
      <w:hyperlink r:id="rId7" w:history="1">
        <w:r w:rsidRPr="00EA7222">
          <w:rPr>
            <w:rFonts w:asciiTheme="minorHAnsi" w:hAnsiTheme="minorHAnsi"/>
            <w:lang w:eastAsia="en-AU"/>
          </w:rPr>
          <w:t>National Water Management Program</w:t>
        </w:r>
      </w:hyperlink>
      <w:r w:rsidRPr="00EA7222">
        <w:rPr>
          <w:rFonts w:asciiTheme="minorHAnsi" w:hAnsiTheme="minorHAnsi"/>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lastRenderedPageBreak/>
        <w:t>A major review concluded that contaminants affect not only the health and ecological value of riverine systems (including wetlands and floodplains) but also threaten 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Grazing Practices</w:t>
      </w:r>
    </w:p>
    <w:p w:rsidR="00726D98" w:rsidRPr="00EA7222" w:rsidRDefault="00726D98" w:rsidP="00726D98">
      <w:pPr>
        <w:rPr>
          <w:rFonts w:asciiTheme="minorHAnsi" w:hAnsiTheme="minorHAnsi"/>
          <w:lang w:eastAsia="en-AU"/>
        </w:rPr>
      </w:pPr>
      <w:r w:rsidRPr="00EA7222">
        <w:rPr>
          <w:rFonts w:asciiTheme="minorHAnsi" w:hAnsiTheme="minorHAnsi"/>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726D98" w:rsidRDefault="00726D98" w:rsidP="00726D98">
      <w:pPr>
        <w:rPr>
          <w:rFonts w:asciiTheme="minorHAnsi" w:hAnsiTheme="minorHAnsi"/>
          <w:lang w:eastAsia="en-AU"/>
        </w:rPr>
      </w:pPr>
      <w:r w:rsidRPr="00EA7222">
        <w:rPr>
          <w:rFonts w:asciiTheme="minorHAnsi" w:hAnsiTheme="minorHAnsi"/>
          <w:lang w:eastAsia="en-AU"/>
        </w:rPr>
        <w:t>Grazing regimes in Australia have typically focused on short term returns without looking to long term sustainability.</w:t>
      </w:r>
      <w:r w:rsidRPr="00EA7222">
        <w:rPr>
          <w:rFonts w:cs="Arial"/>
          <w:color w:val="333333"/>
          <w:sz w:val="19"/>
          <w:szCs w:val="19"/>
        </w:rPr>
        <w:t xml:space="preserve"> </w:t>
      </w:r>
      <w:r w:rsidRPr="00EA7222">
        <w:rPr>
          <w:rFonts w:asciiTheme="minorHAnsi" w:hAnsiTheme="minorHAnsi"/>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726D98" w:rsidRPr="00EA7222" w:rsidRDefault="00726D98" w:rsidP="00726D98">
      <w:pPr>
        <w:rPr>
          <w:rFonts w:asciiTheme="minorHAnsi" w:hAnsiTheme="minorHAnsi"/>
          <w:bCs/>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726D98" w:rsidRPr="00EA7222" w:rsidRDefault="00726D98" w:rsidP="00726D98">
      <w:pPr>
        <w:rPr>
          <w:rFonts w:asciiTheme="minorHAnsi" w:hAnsiTheme="minorHAnsi"/>
          <w:bCs/>
          <w:lang w:eastAsia="en-AU"/>
        </w:rPr>
      </w:pPr>
      <w:r w:rsidRPr="00EA7222">
        <w:rPr>
          <w:rFonts w:asciiTheme="minorHAnsi" w:hAnsiTheme="minorHAnsi"/>
          <w:bCs/>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726D98" w:rsidRPr="00EA7222" w:rsidRDefault="00726D98" w:rsidP="00726D98">
      <w:pPr>
        <w:rPr>
          <w:rFonts w:asciiTheme="minorHAnsi" w:hAnsiTheme="minorHAnsi"/>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w:t>
      </w:r>
      <w:r w:rsidRPr="00EA7222">
        <w:rPr>
          <w:rFonts w:asciiTheme="minorHAnsi" w:hAnsiTheme="minorHAnsi"/>
          <w:lang w:eastAsia="en-AU"/>
        </w:rPr>
        <w:t>aims to educate and assist graziers in changing their management practices and decrease the impact of their industry on waterways within and passing through their own properties</w:t>
      </w:r>
      <w:r>
        <w:rPr>
          <w:rFonts w:asciiTheme="minorHAnsi" w:hAnsiTheme="minorHAnsi"/>
          <w:lang w:eastAsia="en-AU"/>
        </w:rPr>
        <w: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Groundwater Management</w:t>
      </w:r>
    </w:p>
    <w:p w:rsidR="00726D98" w:rsidRPr="00EA7222" w:rsidRDefault="00726D98" w:rsidP="00726D98">
      <w:pPr>
        <w:rPr>
          <w:rFonts w:asciiTheme="minorHAnsi" w:hAnsiTheme="minorHAnsi"/>
          <w:lang w:eastAsia="en-AU"/>
        </w:rPr>
      </w:pPr>
      <w:r w:rsidRPr="00EA7222">
        <w:rPr>
          <w:rFonts w:asciiTheme="minorHAnsi" w:hAnsiTheme="minorHAnsi"/>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726D98" w:rsidRPr="00EA7222" w:rsidRDefault="00726D98" w:rsidP="00726D98">
      <w:pPr>
        <w:rPr>
          <w:rFonts w:asciiTheme="minorHAnsi" w:hAnsiTheme="minorHAnsi"/>
          <w:lang w:eastAsia="en-AU"/>
        </w:rPr>
      </w:pPr>
      <w:r w:rsidRPr="00EA7222">
        <w:rPr>
          <w:rFonts w:asciiTheme="minorHAnsi" w:hAnsiTheme="minorHAnsi"/>
          <w:lang w:eastAsia="en-AU"/>
        </w:rPr>
        <w:t>Traditionally, groundwater has been regarded as an inexhaustible source of water. But this view has changed and it is now recognised that its quantity and quality can be jeopardised. The South East Gr</w:t>
      </w:r>
      <w:r>
        <w:rPr>
          <w:rFonts w:asciiTheme="minorHAnsi" w:hAnsiTheme="minorHAnsi"/>
          <w:lang w:eastAsia="en-AU"/>
        </w:rPr>
        <w:t>oundwater R&amp;D Program</w:t>
      </w:r>
      <w:r w:rsidRPr="00EA7222">
        <w:rPr>
          <w:rFonts w:asciiTheme="minorHAnsi" w:hAnsiTheme="minorHAnsi"/>
          <w:lang w:eastAsia="en-AU"/>
        </w:rPr>
        <w:t xml:space="preserve"> provides management and </w:t>
      </w:r>
      <w:r w:rsidRPr="00EA7222">
        <w:rPr>
          <w:rFonts w:asciiTheme="minorHAnsi" w:hAnsiTheme="minorHAnsi"/>
          <w:lang w:eastAsia="en-AU"/>
        </w:rPr>
        <w:lastRenderedPageBreak/>
        <w:t>policy information, and tools to assist in the sustainable use of groundwater and the protection of its quality.</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Invasive Pests</w:t>
      </w:r>
    </w:p>
    <w:p w:rsidR="00726D98" w:rsidRPr="00EA7222" w:rsidRDefault="00726D98" w:rsidP="00726D98">
      <w:pPr>
        <w:rPr>
          <w:rFonts w:asciiTheme="minorHAnsi" w:hAnsiTheme="minorHAnsi"/>
          <w:lang w:eastAsia="en-AU"/>
        </w:rPr>
      </w:pPr>
      <w:r w:rsidRPr="00EA7222">
        <w:rPr>
          <w:rFonts w:asciiTheme="minorHAnsi" w:hAnsiTheme="minorHAnsi"/>
          <w:lang w:eastAsia="en-AU"/>
        </w:rPr>
        <w:t>Water quality of reservoirs is put at risk by invasive pests such as Duckweed (</w:t>
      </w:r>
      <w:proofErr w:type="spellStart"/>
      <w:r w:rsidRPr="00EA7222">
        <w:rPr>
          <w:rFonts w:asciiTheme="minorHAnsi" w:hAnsiTheme="minorHAnsi"/>
          <w:i/>
          <w:lang w:eastAsia="en-AU"/>
        </w:rPr>
        <w:t>Lemnaceae</w:t>
      </w:r>
      <w:proofErr w:type="spellEnd"/>
      <w:r w:rsidRPr="00EA7222">
        <w:rPr>
          <w:rFonts w:asciiTheme="minorHAnsi" w:hAnsiTheme="minorHAnsi"/>
          <w:i/>
          <w:lang w:eastAsia="en-AU"/>
        </w:rPr>
        <w:t xml:space="preserve"> </w:t>
      </w:r>
      <w:proofErr w:type="spellStart"/>
      <w:r w:rsidRPr="00EA7222">
        <w:rPr>
          <w:rFonts w:asciiTheme="minorHAnsi" w:hAnsiTheme="minorHAnsi"/>
          <w:i/>
          <w:lang w:eastAsia="en-AU"/>
        </w:rPr>
        <w:t>spirodela</w:t>
      </w:r>
      <w:proofErr w:type="spellEnd"/>
      <w:r w:rsidRPr="00EA7222">
        <w:rPr>
          <w:rFonts w:asciiTheme="minorHAnsi" w:hAnsiTheme="minorHAnsi"/>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726D98" w:rsidRPr="00EA7222" w:rsidRDefault="00726D98" w:rsidP="00726D98">
      <w:pPr>
        <w:rPr>
          <w:rFonts w:asciiTheme="minorHAnsi" w:hAnsiTheme="minorHAnsi"/>
          <w:lang w:eastAsia="en-AU"/>
        </w:rPr>
      </w:pPr>
      <w:r w:rsidRPr="00EA7222">
        <w:rPr>
          <w:rFonts w:asciiTheme="minorHAnsi" w:hAnsiTheme="minorHAnsi"/>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726D98" w:rsidRPr="00EA7222" w:rsidRDefault="00726D98" w:rsidP="00726D98">
      <w:pPr>
        <w:rPr>
          <w:rFonts w:asciiTheme="minorHAnsi" w:hAnsiTheme="minorHAnsi"/>
          <w:lang w:eastAsia="en-AU"/>
        </w:rPr>
      </w:pPr>
      <w:r w:rsidRPr="00EA7222">
        <w:rPr>
          <w:rFonts w:asciiTheme="minorHAnsi" w:hAnsiTheme="minorHAnsi"/>
          <w:lang w:eastAsia="en-AU"/>
        </w:rPr>
        <w:t>Nevertheless, the existence of Duckweed in natural reservoirs is not desirable and the South East Invasive Pest Programme will look at ways to increase the rate of Duckweed removal and management strategies to ensure future control.</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Wetlands</w:t>
      </w:r>
    </w:p>
    <w:p w:rsidR="00726D98" w:rsidRPr="00EA7222" w:rsidRDefault="00726D98" w:rsidP="00726D98">
      <w:pPr>
        <w:rPr>
          <w:rFonts w:asciiTheme="minorHAnsi" w:hAnsiTheme="minorHAnsi"/>
          <w:lang w:eastAsia="en-AU"/>
        </w:rPr>
      </w:pPr>
      <w:r w:rsidRPr="00EA7222">
        <w:rPr>
          <w:rFonts w:asciiTheme="minorHAnsi" w:hAnsiTheme="minorHAnsi"/>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Salinity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Salinity is a condition where soils contain high levels of salt. There are two forms of salinity: </w:t>
      </w:r>
      <w:proofErr w:type="spellStart"/>
      <w:r w:rsidRPr="00EA7222">
        <w:rPr>
          <w:rFonts w:asciiTheme="minorHAnsi" w:hAnsiTheme="minorHAnsi"/>
          <w:lang w:eastAsia="en-AU"/>
        </w:rPr>
        <w:t>dryland</w:t>
      </w:r>
      <w:proofErr w:type="spellEnd"/>
      <w:r w:rsidRPr="00EA7222">
        <w:rPr>
          <w:rFonts w:asciiTheme="minorHAnsi" w:hAnsiTheme="minorHAnsi"/>
          <w:lang w:eastAsia="en-AU"/>
        </w:rPr>
        <w:t xml:space="preserve"> salinity and irrigated land salinity. </w:t>
      </w:r>
      <w:proofErr w:type="spellStart"/>
      <w:r w:rsidRPr="00EA7222">
        <w:rPr>
          <w:rFonts w:asciiTheme="minorHAnsi" w:hAnsiTheme="minorHAnsi"/>
          <w:lang w:eastAsia="en-AU"/>
        </w:rPr>
        <w:t>Dryland</w:t>
      </w:r>
      <w:proofErr w:type="spellEnd"/>
      <w:r w:rsidRPr="00EA7222">
        <w:rPr>
          <w:rFonts w:asciiTheme="minorHAnsi" w:hAnsiTheme="minorHAnsi"/>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Much of the land in the South East region contains high levels of salt, but it is usually held deep in the soil profile where it does not affect plants. Rising water tables, however, cause the salt to rise in the soil profile and this is when salinity issues arise. </w:t>
      </w:r>
      <w:r w:rsidRPr="00EA7222">
        <w:rPr>
          <w:rFonts w:asciiTheme="minorHAnsi" w:hAnsiTheme="minorHAnsi"/>
          <w:lang w:eastAsia="en-AU"/>
        </w:rPr>
        <w:lastRenderedPageBreak/>
        <w:t>The high level of salts in the soil restricts or prevents plant growth and arable land usability and value thereby decreases dramatically.</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Whereas in the past farmers were surveyed to determine the extent of </w:t>
      </w:r>
      <w:proofErr w:type="spellStart"/>
      <w:r w:rsidRPr="00EA7222">
        <w:rPr>
          <w:rFonts w:asciiTheme="minorHAnsi" w:hAnsiTheme="minorHAnsi"/>
          <w:lang w:eastAsia="en-AU"/>
        </w:rPr>
        <w:t>salination</w:t>
      </w:r>
      <w:proofErr w:type="spellEnd"/>
      <w:r w:rsidRPr="00EA7222">
        <w:rPr>
          <w:rFonts w:asciiTheme="minorHAnsi" w:hAnsiTheme="minorHAnsi"/>
          <w:lang w:eastAsia="en-AU"/>
        </w:rPr>
        <w:t xml:space="preserve"> on their properties, it eventuates that the results were not very successful, due to limited knowledge (and therefore ability to determine the extent of </w:t>
      </w:r>
      <w:proofErr w:type="spellStart"/>
      <w:r w:rsidRPr="00EA7222">
        <w:rPr>
          <w:rFonts w:asciiTheme="minorHAnsi" w:hAnsiTheme="minorHAnsi"/>
          <w:lang w:eastAsia="en-AU"/>
        </w:rPr>
        <w:t>salination</w:t>
      </w:r>
      <w:proofErr w:type="spellEnd"/>
      <w:r w:rsidRPr="00EA7222">
        <w:rPr>
          <w:rFonts w:asciiTheme="minorHAnsi" w:hAnsiTheme="minorHAnsi"/>
          <w:lang w:eastAsia="en-AU"/>
        </w:rPr>
        <w:t>) and an absence of mapped data. Current methods involve aerial surveys using remote sensing cameras. The data collected is extremely accurate and enables a much clearer insight.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River Health</w:t>
      </w:r>
    </w:p>
    <w:p w:rsidR="00726D98" w:rsidRPr="00EA7222" w:rsidRDefault="00726D98" w:rsidP="00726D98">
      <w:pPr>
        <w:rPr>
          <w:rFonts w:asciiTheme="minorHAnsi" w:hAnsiTheme="minorHAnsi"/>
          <w:lang w:eastAsia="en-AU"/>
        </w:rPr>
      </w:pPr>
      <w:r w:rsidRPr="00EA7222">
        <w:rPr>
          <w:rFonts w:asciiTheme="minorHAnsi" w:hAnsiTheme="minorHAnsi"/>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Water Initiatives Plan also seeks to:</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estimate and manage environmental flow to rivers and floodplains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managing water storages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the relationship between flow and river biota</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the water requirements of wetlands</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Riparian Lands</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EA7222">
        <w:rPr>
          <w:rFonts w:asciiTheme="minorHAnsi" w:hAnsiTheme="minorHAnsi"/>
          <w:lang w:eastAsia="en-AU"/>
        </w:rPr>
        <w:t>lead</w:t>
      </w:r>
      <w:proofErr w:type="spellEnd"/>
      <w:r w:rsidRPr="00EA7222">
        <w:rPr>
          <w:rFonts w:asciiTheme="minorHAnsi" w:hAnsiTheme="minorHAnsi"/>
          <w:lang w:eastAsia="en-AU"/>
        </w:rPr>
        <w:t xml:space="preserve"> to river bank erosion, resulting in flooding and decreased water quality.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Poor management or no management of riparian lands has become an economic burden, with almost $45 million spent annually on improving the water quality of the region.</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Native Vegetation and Biodiversity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lastRenderedPageBreak/>
        <w:t>work with farmers to manage and restore native vegetation</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develop a system for evaluating and documenting biodiversity benefits resulting from the Initiative’s actions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work with indigenous populations to manage fires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assess biodiversity benefits from water management in the South East rangelands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develop software to enable hands-on learning for landholders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measure biodiversity of regrowth vegetation in modified landscapes</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Affiliations</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The organisations with which </w:t>
      </w:r>
      <w:proofErr w:type="spellStart"/>
      <w:r w:rsidRPr="00EA7222">
        <w:rPr>
          <w:rFonts w:asciiTheme="minorHAnsi" w:hAnsiTheme="minorHAnsi"/>
          <w:lang w:eastAsia="en-AU"/>
        </w:rPr>
        <w:t>Alpheius</w:t>
      </w:r>
      <w:proofErr w:type="spellEnd"/>
      <w:r w:rsidRPr="00EA7222">
        <w:rPr>
          <w:rFonts w:asciiTheme="minorHAnsi" w:hAnsiTheme="minorHAnsi"/>
          <w:lang w:eastAsia="en-AU"/>
        </w:rPr>
        <w:t xml:space="preserve"> Global Enterprises is working to improve the</w:t>
      </w:r>
      <w:r>
        <w:rPr>
          <w:rFonts w:asciiTheme="minorHAnsi" w:hAnsiTheme="minorHAnsi"/>
          <w:lang w:eastAsia="en-AU"/>
        </w:rPr>
        <w:t xml:space="preserve"> quality of the environment </w:t>
      </w:r>
      <w:r w:rsidRPr="00EA7222">
        <w:rPr>
          <w:rFonts w:asciiTheme="minorHAnsi" w:hAnsiTheme="minorHAnsi"/>
          <w:lang w:eastAsia="en-AU"/>
        </w:rPr>
        <w:t>include:</w:t>
      </w:r>
    </w:p>
    <w:p w:rsidR="00726D98" w:rsidRPr="00EA7222" w:rsidRDefault="00726D98" w:rsidP="00726D98">
      <w:pPr>
        <w:rPr>
          <w:rFonts w:asciiTheme="minorHAnsi" w:hAnsiTheme="minorHAnsi"/>
          <w:lang w:eastAsia="en-AU"/>
        </w:rPr>
      </w:pPr>
      <w:r w:rsidRPr="00EA7222">
        <w:rPr>
          <w:rFonts w:asciiTheme="minorHAnsi" w:hAnsiTheme="minorHAnsi"/>
          <w:lang w:eastAsia="en-AU"/>
        </w:rPr>
        <w:t>Landcare Australia</w:t>
      </w:r>
    </w:p>
    <w:p w:rsidR="00726D98" w:rsidRPr="00EA7222" w:rsidRDefault="00726D98" w:rsidP="00726D98">
      <w:pPr>
        <w:rPr>
          <w:rFonts w:asciiTheme="minorHAnsi" w:hAnsiTheme="minorHAnsi"/>
          <w:lang w:eastAsia="en-AU"/>
        </w:rPr>
      </w:pPr>
      <w:r w:rsidRPr="00EA7222">
        <w:rPr>
          <w:rFonts w:asciiTheme="minorHAnsi" w:hAnsiTheme="minorHAnsi"/>
          <w:lang w:eastAsia="en-AU"/>
        </w:rPr>
        <w:t>Environment Victoria</w:t>
      </w:r>
    </w:p>
    <w:p w:rsidR="00726D98" w:rsidRPr="00EA7222" w:rsidRDefault="00726D98" w:rsidP="00726D98">
      <w:pPr>
        <w:rPr>
          <w:rFonts w:asciiTheme="minorHAnsi" w:hAnsiTheme="minorHAnsi"/>
          <w:lang w:eastAsia="en-AU"/>
        </w:rPr>
      </w:pPr>
      <w:r w:rsidRPr="00EA7222">
        <w:rPr>
          <w:rFonts w:asciiTheme="minorHAnsi" w:hAnsiTheme="minorHAnsi"/>
          <w:lang w:eastAsia="en-AU"/>
        </w:rPr>
        <w:t>Global Friends Australia</w:t>
      </w:r>
    </w:p>
    <w:p w:rsidR="00726D98" w:rsidRPr="00EA7222" w:rsidRDefault="00726D98" w:rsidP="00726D98">
      <w:pPr>
        <w:rPr>
          <w:rFonts w:asciiTheme="minorHAnsi" w:hAnsiTheme="minorHAnsi"/>
          <w:lang w:eastAsia="en-AU"/>
        </w:rPr>
      </w:pPr>
      <w:r w:rsidRPr="00EA7222">
        <w:rPr>
          <w:rFonts w:asciiTheme="minorHAnsi" w:hAnsiTheme="minorHAnsi"/>
          <w:lang w:eastAsia="en-AU"/>
        </w:rPr>
        <w:t>Australian Conservation Foundation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Australian Student Environment Network</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Natural Edge Project</w:t>
      </w:r>
    </w:p>
    <w:p w:rsidR="00726D98" w:rsidRPr="00EA7222" w:rsidRDefault="00726D98" w:rsidP="00726D98">
      <w:pPr>
        <w:rPr>
          <w:rFonts w:asciiTheme="minorHAnsi" w:hAnsiTheme="minorHAnsi"/>
          <w:lang w:eastAsia="en-AU"/>
        </w:rPr>
      </w:pPr>
      <w:r w:rsidRPr="00EA7222">
        <w:rPr>
          <w:rFonts w:asciiTheme="minorHAnsi" w:hAnsiTheme="minorHAnsi"/>
          <w:lang w:eastAsia="en-AU"/>
        </w:rPr>
        <w:t>South East Water Conservation Group</w:t>
      </w:r>
    </w:p>
    <w:p w:rsidR="00726D98" w:rsidRPr="00EA7222" w:rsidRDefault="00726D98" w:rsidP="00726D98">
      <w:pPr>
        <w:rPr>
          <w:rFonts w:asciiTheme="minorHAnsi" w:hAnsiTheme="minorHAnsi"/>
          <w:lang w:eastAsia="en-AU"/>
        </w:rPr>
      </w:pPr>
      <w:r w:rsidRPr="00EA7222">
        <w:rPr>
          <w:rFonts w:asciiTheme="minorHAnsi" w:hAnsiTheme="minorHAnsi"/>
          <w:lang w:eastAsia="en-AU"/>
        </w:rPr>
        <w:t>South East Ranges Trust</w:t>
      </w:r>
    </w:p>
    <w:p w:rsidR="005A102B" w:rsidRDefault="00FD2D94"/>
    <w:sectPr w:rsidR="005A102B" w:rsidSect="00726D98">
      <w:headerReference w:type="default" r:id="rId8"/>
      <w:footerReference w:type="default" r:id="rId9"/>
      <w:pgSz w:w="11907" w:h="16840" w:code="9"/>
      <w:pgMar w:top="1438" w:right="1814" w:bottom="1803" w:left="1440" w:header="850" w:footer="85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D94" w:rsidRDefault="00FD2D94">
      <w:pPr>
        <w:spacing w:after="0"/>
      </w:pPr>
      <w:r>
        <w:separator/>
      </w:r>
    </w:p>
  </w:endnote>
  <w:endnote w:type="continuationSeparator" w:id="0">
    <w:p w:rsidR="00FD2D94" w:rsidRDefault="00FD2D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23A" w:rsidRPr="0070387E" w:rsidRDefault="00726D98" w:rsidP="0070387E">
    <w:pPr>
      <w:pStyle w:val="Footer"/>
      <w:tabs>
        <w:tab w:val="clear" w:pos="9026"/>
        <w:tab w:val="right" w:pos="8647"/>
      </w:tabs>
      <w:rPr>
        <w:rFonts w:cs="Arial"/>
        <w:sz w:val="20"/>
        <w:szCs w:val="20"/>
      </w:rPr>
    </w:pPr>
    <w:r w:rsidRPr="00F563EF">
      <w:rPr>
        <w:rFonts w:cs="Arial"/>
      </w:rPr>
      <w:tab/>
    </w:r>
    <w:r w:rsidRPr="00F563EF">
      <w:rPr>
        <w:rFonts w:cs="Arial"/>
        <w:color w:val="7F7F7F" w:themeColor="background1" w:themeShade="7F"/>
        <w:spacing w:val="60"/>
      </w:rPr>
      <w:tab/>
    </w:r>
    <w:r w:rsidRPr="0070387E">
      <w:rPr>
        <w:rFonts w:cs="Arial"/>
        <w:color w:val="7F7F7F" w:themeColor="background1" w:themeShade="7F"/>
        <w:spacing w:val="60"/>
        <w:sz w:val="20"/>
        <w:szCs w:val="20"/>
      </w:rPr>
      <w:t>Page</w:t>
    </w:r>
    <w:r w:rsidRPr="0070387E">
      <w:rPr>
        <w:rFonts w:cs="Arial"/>
        <w:sz w:val="20"/>
        <w:szCs w:val="20"/>
      </w:rPr>
      <w:t xml:space="preserve"> | </w:t>
    </w:r>
    <w:r w:rsidRPr="0070387E">
      <w:rPr>
        <w:rFonts w:cs="Arial"/>
        <w:sz w:val="20"/>
        <w:szCs w:val="20"/>
      </w:rPr>
      <w:fldChar w:fldCharType="begin"/>
    </w:r>
    <w:r w:rsidRPr="0070387E">
      <w:rPr>
        <w:rFonts w:cs="Arial"/>
        <w:sz w:val="20"/>
        <w:szCs w:val="20"/>
      </w:rPr>
      <w:instrText xml:space="preserve"> PAGE   \* MERGEFORMAT </w:instrText>
    </w:r>
    <w:r w:rsidRPr="0070387E">
      <w:rPr>
        <w:rFonts w:cs="Arial"/>
        <w:sz w:val="20"/>
        <w:szCs w:val="20"/>
      </w:rPr>
      <w:fldChar w:fldCharType="separate"/>
    </w:r>
    <w:r w:rsidR="00912286" w:rsidRPr="00912286">
      <w:rPr>
        <w:rFonts w:cs="Arial"/>
        <w:b/>
        <w:noProof/>
        <w:sz w:val="20"/>
        <w:szCs w:val="20"/>
      </w:rPr>
      <w:t>6</w:t>
    </w:r>
    <w:r w:rsidRPr="0070387E">
      <w:rPr>
        <w:rFonts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D94" w:rsidRDefault="00FD2D94">
      <w:pPr>
        <w:spacing w:after="0"/>
      </w:pPr>
      <w:r>
        <w:separator/>
      </w:r>
    </w:p>
  </w:footnote>
  <w:footnote w:type="continuationSeparator" w:id="0">
    <w:p w:rsidR="00FD2D94" w:rsidRDefault="00FD2D9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AB6" w:rsidRPr="0070387E" w:rsidRDefault="00726D98" w:rsidP="0070387E">
    <w:pPr>
      <w:pStyle w:val="Footer"/>
      <w:jc w:val="right"/>
      <w:rPr>
        <w:rFonts w:cs="Arial"/>
        <w:color w:val="7F7F7F" w:themeColor="background1" w:themeShade="7F"/>
        <w:sz w:val="20"/>
        <w:szCs w:val="20"/>
      </w:rPr>
    </w:pPr>
    <w:r w:rsidRPr="0070387E">
      <w:rPr>
        <w:rFonts w:cs="Arial"/>
        <w:color w:val="7F7F7F" w:themeColor="background1" w:themeShade="7F"/>
        <w:sz w:val="20"/>
        <w:szCs w:val="20"/>
      </w:rPr>
      <w:t xml:space="preserve">AGE </w:t>
    </w:r>
    <w:r w:rsidRPr="0070387E">
      <w:rPr>
        <w:rFonts w:cs="Arial"/>
        <w:color w:val="7F7F7F" w:themeColor="background1" w:themeShade="7F"/>
        <w:sz w:val="20"/>
        <w:szCs w:val="20"/>
      </w:rPr>
      <w:noBreakHyphen/>
      <w:t xml:space="preserve"> Environmental Health – Water Quality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D98"/>
    <w:rsid w:val="000A6A26"/>
    <w:rsid w:val="000D13AA"/>
    <w:rsid w:val="002C6C20"/>
    <w:rsid w:val="003E3A9B"/>
    <w:rsid w:val="00726D98"/>
    <w:rsid w:val="007511CA"/>
    <w:rsid w:val="007E37B8"/>
    <w:rsid w:val="008F142B"/>
    <w:rsid w:val="00912286"/>
    <w:rsid w:val="00981402"/>
    <w:rsid w:val="00C57582"/>
    <w:rsid w:val="00CE215B"/>
    <w:rsid w:val="00D31FF9"/>
    <w:rsid w:val="00E53D93"/>
    <w:rsid w:val="00ED2164"/>
    <w:rsid w:val="00FD2D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D82896-BACB-4C30-9973-92732BB3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D98"/>
    <w:pPr>
      <w:spacing w:after="24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726D98"/>
    <w:pPr>
      <w:keepNext/>
      <w:pBdr>
        <w:bottom w:val="single" w:sz="4" w:space="1" w:color="auto"/>
      </w:pBdr>
      <w:spacing w:before="24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6D98"/>
    <w:rPr>
      <w:rFonts w:ascii="Arial" w:eastAsia="Times New Roman" w:hAnsi="Arial" w:cs="Arial"/>
      <w:b/>
      <w:bCs/>
      <w:kern w:val="32"/>
      <w:sz w:val="32"/>
      <w:szCs w:val="32"/>
      <w:lang w:val="en-AU"/>
    </w:rPr>
  </w:style>
  <w:style w:type="paragraph" w:customStyle="1" w:styleId="SubTitle">
    <w:name w:val="Sub Title"/>
    <w:basedOn w:val="Normal"/>
    <w:rsid w:val="00726D98"/>
    <w:pPr>
      <w:jc w:val="center"/>
    </w:pPr>
    <w:rPr>
      <w:i/>
      <w:iCs/>
      <w:sz w:val="36"/>
    </w:rPr>
  </w:style>
  <w:style w:type="paragraph" w:styleId="ListParagraph">
    <w:name w:val="List Paragraph"/>
    <w:basedOn w:val="Normal"/>
    <w:uiPriority w:val="34"/>
    <w:qFormat/>
    <w:rsid w:val="00726D98"/>
    <w:pPr>
      <w:ind w:left="720"/>
      <w:contextualSpacing/>
    </w:pPr>
  </w:style>
  <w:style w:type="paragraph" w:styleId="Header">
    <w:name w:val="header"/>
    <w:basedOn w:val="Normal"/>
    <w:link w:val="HeaderChar"/>
    <w:uiPriority w:val="99"/>
    <w:rsid w:val="00726D98"/>
    <w:pPr>
      <w:tabs>
        <w:tab w:val="center" w:pos="4513"/>
        <w:tab w:val="right" w:pos="9026"/>
      </w:tabs>
      <w:spacing w:after="0"/>
    </w:pPr>
  </w:style>
  <w:style w:type="character" w:customStyle="1" w:styleId="HeaderChar">
    <w:name w:val="Header Char"/>
    <w:basedOn w:val="DefaultParagraphFont"/>
    <w:link w:val="Header"/>
    <w:uiPriority w:val="99"/>
    <w:rsid w:val="00726D98"/>
    <w:rPr>
      <w:rFonts w:ascii="Arial" w:eastAsia="Times New Roman" w:hAnsi="Arial" w:cs="Times New Roman"/>
      <w:sz w:val="24"/>
      <w:szCs w:val="24"/>
      <w:lang w:val="en-AU"/>
    </w:rPr>
  </w:style>
  <w:style w:type="paragraph" w:styleId="Footer">
    <w:name w:val="footer"/>
    <w:basedOn w:val="Normal"/>
    <w:link w:val="FooterChar"/>
    <w:rsid w:val="00726D98"/>
    <w:pPr>
      <w:tabs>
        <w:tab w:val="center" w:pos="4513"/>
        <w:tab w:val="right" w:pos="9026"/>
      </w:tabs>
      <w:spacing w:after="0"/>
    </w:pPr>
  </w:style>
  <w:style w:type="character" w:customStyle="1" w:styleId="FooterChar">
    <w:name w:val="Footer Char"/>
    <w:basedOn w:val="DefaultParagraphFont"/>
    <w:link w:val="Footer"/>
    <w:rsid w:val="00726D98"/>
    <w:rPr>
      <w:rFonts w:ascii="Arial" w:eastAsia="Times New Roman" w:hAnsi="Arial"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1332</Words>
  <Characters>8025</Characters>
  <Application>Microsoft Office Word</Application>
  <DocSecurity>0</DocSecurity>
  <Lines>8025</Lines>
  <Paragraphs>322</Paragraphs>
  <ScaleCrop>false</ScaleCrop>
  <Company/>
  <LinksUpToDate>false</LinksUpToDate>
  <CharactersWithSpaces>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2013-04-05T02:52:00Z</dcterms:created>
  <dcterms:modified xsi:type="dcterms:W3CDTF">2013-04-18T05:38:00Z</dcterms:modified>
</cp:coreProperties>
</file>